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FE" w:rsidRDefault="004755FE" w:rsidP="004755FE">
      <w:pPr>
        <w:jc w:val="center"/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z w:val="36"/>
        </w:rPr>
        <w:t>ÖĞRETİM ÜYELİĞİ KADROLARINA ATANMA</w:t>
      </w:r>
      <w:r>
        <w:rPr>
          <w:rFonts w:ascii="Times New Roman" w:hAnsi="Times New Roman" w:cs="Times New Roman"/>
          <w:b/>
          <w:spacing w:val="-10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VE</w:t>
      </w:r>
      <w:r>
        <w:rPr>
          <w:rFonts w:ascii="Times New Roman" w:hAnsi="Times New Roman" w:cs="Times New Roman"/>
          <w:b/>
          <w:spacing w:val="-9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YÜKSELTME</w:t>
      </w:r>
      <w:r>
        <w:rPr>
          <w:rFonts w:ascii="Times New Roman" w:hAnsi="Times New Roman" w:cs="Times New Roman"/>
          <w:b/>
          <w:spacing w:val="-10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 xml:space="preserve">KRİTERLERİ </w:t>
      </w:r>
      <w:r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  <w:r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HUKUK</w:t>
      </w: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4755FE" w:rsidRDefault="004755FE" w:rsidP="004755FE">
      <w:pPr>
        <w:tabs>
          <w:tab w:val="left" w:pos="1485"/>
        </w:tabs>
        <w:rPr>
          <w:rFonts w:ascii="Cambria" w:hAnsi="Cambria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4755FE" w:rsidTr="004755FE"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755FE" w:rsidTr="004755FE"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755FE" w:rsidTr="004755FE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FE" w:rsidRDefault="004755FE">
            <w:pPr>
              <w:tabs>
                <w:tab w:val="left" w:pos="148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55FE" w:rsidRDefault="004755FE" w:rsidP="004755FE">
      <w:pPr>
        <w:tabs>
          <w:tab w:val="left" w:pos="1485"/>
        </w:tabs>
        <w:rPr>
          <w:rFonts w:ascii="Cambria" w:hAnsi="Cambria"/>
        </w:rPr>
      </w:pPr>
    </w:p>
    <w:p w:rsidR="004755FE" w:rsidRDefault="004755FE" w:rsidP="004755FE"/>
    <w:p w:rsidR="004755FE" w:rsidRDefault="004755FE" w:rsidP="004755FE"/>
    <w:p w:rsidR="006F49CA" w:rsidRDefault="006F49CA" w:rsidP="004755FE"/>
    <w:p w:rsidR="00BB1BC0" w:rsidRDefault="00BB1BC0" w:rsidP="004755FE"/>
    <w:p w:rsidR="00BB1BC0" w:rsidRDefault="00BB1BC0" w:rsidP="004755F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7"/>
      </w:tblGrid>
      <w:tr w:rsidR="00BB1BC0" w:rsidRPr="00CC01A2" w:rsidTr="00CB5953">
        <w:trPr>
          <w:trHeight w:val="558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915439" w:rsidP="009154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Hukuk </w:t>
            </w:r>
            <w:bookmarkStart w:id="0" w:name="_GoBack"/>
            <w:bookmarkEnd w:id="0"/>
            <w:r w:rsidR="00BB1BC0" w:rsidRPr="00651569">
              <w:rPr>
                <w:rFonts w:ascii="Times New Roman" w:hAnsi="Times New Roman" w:cs="Times New Roman"/>
                <w:b/>
                <w:sz w:val="24"/>
                <w:szCs w:val="20"/>
              </w:rPr>
              <w:t>Temel Alanı Ayrıntılı Puanlı Yayın Listesi ve Beyannamesi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1.Uluslararası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a) SSCI, SCI, SCI-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Expanded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ve AHCI kapsamındaki dergilerde editöre mektup, derleme, özet veya kitap kritiği hariç olmak üzere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b) ESCI veya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BB1BC0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</w:rPr>
              <w:t>c)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Bu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maddenin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“a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veya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b”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bentleri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kapsamındaki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yayınlarda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alanında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bilime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katkı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sağlayan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kitap kritiği yapılmış makale, editöre mektup, derleme, özet ve teknik not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BB1BC0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Ulusal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TR Dizin tarafından taranan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“a” bendi kapsamı dışındaki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Uluslararası yayınevleri tarafından yayımlanmış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BB1BC0">
        <w:trPr>
          <w:trHeight w:val="179"/>
        </w:trPr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  <w:szCs w:val="20"/>
              </w:rPr>
              <w:t>b) Ulusal veya uluslararası yayınevleri tarafından yayımlanmış kitap editörlüğü veya bölüm yazarlığı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Ulusal yayınevleri tarafından yayımlanmış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  <w:szCs w:val="20"/>
              </w:rPr>
              <w:t>d) Ulusal veya uluslararası yayınevleri tarafından yayımlanmış çok yazarlı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madde kapsamında aynı kitaptaki bölümlerden sadece ikisi puanlanabilir. Başvurulan bilim alanı ile ilgili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olmak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kaydıyla, ansiklopedi maddelerinin üç veya daha çok maddesi bir kitap bölümü kabul edilir. Kongre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kitabı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içerisindeki çalışmalar kitap bölümü olarak değerlendirilmez. Uluslararası yayınevleri tarafından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basılmış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kitap ve kitap bölümleri yabancı dilde basılmış olmalıdır (Türkçe basılı olanlar “b” bendine göre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puanlandırılır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Bu bölümden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25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Adayın Eserlerine;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a) SCI, SCIE, SSCI, AHCI, ESCI ve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Uluslararası yayınevleri tarafından yayımlanmış kitapta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TR Dizin kapsamındaki dergilerde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Diğer uluslararası / ulusal kitap veya dergilerde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</w:t>
            </w:r>
            <w:proofErr w:type="spell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Üyesi ve Dr. </w:t>
            </w:r>
            <w:proofErr w:type="spell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</w:t>
            </w:r>
            <w:proofErr w:type="spell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Üyesi Yeniden Atamalarında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 fazla 20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Doçentlik ve Profesörlük atamalarında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madde kapsamında adayın kendi eserlerine yaptığı atıf değerlendirmeye alınmaz.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Adayın bir eserine aynı yayında birden fazla atıf tek atıf sayılır.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5.Lisansüstü Tez 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Adayın danışmanlığını yürüttüğü tamamlanan lisansüstü tezlerden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Doktora tez 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Yüksek Lisans tez 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Lisansüstü Tez Danışmanlığı Bölümü kapsamında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 İkinci/eş danışman olması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durumunda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asıl danışman a ve b bentleri için öngörülen puanların tamamını, ikinci danışman ise yarısını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alır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6.Bilimsel Araştırma Projesi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Devam eden veya başarı ile tamamlanmış AB Çerçeve programı / TÜBİTAK (Öğrenci Projesi hariç) bilimsel araştırma projesinde koordinatör / yürütücü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Devam eden veya başarı ile tamamlanmış AB Çerçeve programı / TÜBİTAK (Öğrenci Projesi hariç) bilimsel araştırma projesinde ortak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Üniversiteler dışındaki kamu kurumu / özel kuruluşla yapılan başarı ile tamamlanmış AR-GE / ÜR-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GE’ye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dayalı bilimsel araştırma projesinde yürütücü/araştırmacı/danışman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Üniversiteler dışındaki kamu kurumlarıyla yapılan başarıyla tamamlanan veya yürütülen bilimsel araştırma projelerinde yürütücü,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e) Devam eden veya başarı ile tamamlanmış üniversiteler tarafından desteklenen bilimsel araştırma projelerinde (tez ve uzmanlık projeleri dâhil) yürütücü veya araştırmacı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BB1BC0">
        <w:trPr>
          <w:trHeight w:val="479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Bilimsel Araştırma Projesi kapsamında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20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7.Bilimsel Toplantı 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BB1BC0">
        <w:trPr>
          <w:trHeight w:val="497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Bilimsel toplantı faaliyetlerinden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8.Eğitim-Öğretim 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Doktora eğitimini tamamladıktan sonra verilmiş ders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Bir dönem yüksek lisans veya doktora 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b) Bir dönem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veya lisans 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Eğitim ve öğretim faaliyetlerinden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4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 Yurtiçi ve YÖK tarafından tanınan yurtdışı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yükseköğretim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kurumlarında en az 2 yıl öğretim elemanı olarak görev yapanlar 2 puan almış sayılırlar.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9.Patent / Faydalı 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Tescil edilmiş uluslararası 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Tescil edilmiş ulusal 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Tescil edilmiş faydalı 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Kişisel patent başvurusunda bulunmuş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BB1BC0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Patentlerde puan kişi sayısına bölünür.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10.Ödül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YÖK yılın doktora tezi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YÖK üstün başarı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TÜBİTAK Bilim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TÜBİTAK Teşvik Ödülü (UBYT Ödülü hariç)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e) TÜBA GEBİP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f) TÜBA TESEP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BB1BC0">
        <w:trPr>
          <w:trHeight w:val="447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BB1BC0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BB1BC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BB1BC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25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BB1BC0" w:rsidRPr="00CC01A2" w:rsidTr="00BB1BC0">
        <w:trPr>
          <w:trHeight w:val="41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a) SCI, SCIE, SSCI, AHCI, ESCI veya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Scopus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b) BKCI veya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Scopus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c) TR Dizin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404994">
        <w:trPr>
          <w:trHeight w:val="333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4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12.Kurumsal Katkı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Dekan, Başhekim, Enstitü, Konservatuvar, Yüksekokul ve MYO Müdürü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b) Dekan, Başhekim, Enstitü, Konservatuvar, Yüksekokul ve MYO Müdür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Bölüm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Bölüm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e) Rektörlüğe bağlı diğer ofis / Koordinatörlüklerde Koordinatör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f) Rektörlüğe bağlı diğer ofis / Koordinatörlüklerde Koordinatör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g) Rektörlüğe Bağlı Komisyon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h) Rektörlüğe Bağlı Komisyon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i) Üniversite, Fakülte, Enstitü, Konservatuvar, Yüksekokul ve MYO Kurulu Yönetim Kurulu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25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Uluslararası Bilimsel Kongre, Konferans veya Sempozyum Organizasyonu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Uluslararası Bilimsel Kongre, Konferans veya Sempozyum Düzenleme Kurulu Başkanı / Eş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b) Uluslararası Bilimsel Kongre, Konferans veya Sempozyum Düzenleme Kurulu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Uluslararası Bilimsel Kongre, Konferans veya Sempozyum Düzenleme Kurulu Kurul Üyeliği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Uluslararası Bilimsel Kongre, Konferans veya Sempozyum Düzenleme Kurulu Genel Sekreterliği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404994">
        <w:trPr>
          <w:trHeight w:val="325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30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14.Diğer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Eğitici Eğitimi ve Gelişimi Programına katılmak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b) Web of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Science’a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YÖK’ün kabul ettiği sıralama kuruluşlarında* yer alan ilk 300 üniversitede kesintisiz en az altı ay yurt dışı araştırma veya öğretim faaliyetinde bulunmuş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CB5953">
        <w:tc>
          <w:tcPr>
            <w:tcW w:w="7508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BB1BC0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13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Puan Hesaplama</w:t>
            </w:r>
          </w:p>
        </w:tc>
      </w:tr>
      <w:tr w:rsidR="00BB1BC0" w:rsidRPr="00CC01A2" w:rsidTr="00CB5953">
        <w:tc>
          <w:tcPr>
            <w:tcW w:w="10196" w:type="dxa"/>
            <w:gridSpan w:val="3"/>
            <w:vAlign w:val="center"/>
          </w:tcPr>
          <w:p w:rsidR="00BB1BC0" w:rsidRPr="00BB1BC0" w:rsidRDefault="00BB1BC0" w:rsidP="00BB1BC0">
            <w:pPr>
              <w:pStyle w:val="TableParagraph"/>
              <w:spacing w:before="216"/>
              <w:ind w:left="0" w:right="136"/>
              <w:jc w:val="both"/>
              <w:rPr>
                <w:sz w:val="20"/>
              </w:rPr>
            </w:pPr>
            <w:r w:rsidRPr="00BB1BC0">
              <w:rPr>
                <w:sz w:val="20"/>
              </w:rPr>
              <w:t>Tek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yazarlı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yayınlarda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</w:t>
            </w:r>
            <w:r w:rsidRPr="00BB1BC0">
              <w:rPr>
                <w:spacing w:val="-5"/>
                <w:sz w:val="20"/>
              </w:rPr>
              <w:t xml:space="preserve"> </w:t>
            </w:r>
            <w:r w:rsidRPr="00BB1BC0">
              <w:rPr>
                <w:sz w:val="20"/>
              </w:rPr>
              <w:t>tam</w:t>
            </w:r>
            <w:r w:rsidRPr="00BB1BC0">
              <w:rPr>
                <w:spacing w:val="-7"/>
                <w:sz w:val="20"/>
              </w:rPr>
              <w:t xml:space="preserve"> </w:t>
            </w:r>
            <w:r w:rsidRPr="00BB1BC0">
              <w:rPr>
                <w:sz w:val="20"/>
              </w:rPr>
              <w:t>puan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alır.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Çok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yazarlı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yayınlarda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puan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yazarlar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arasında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eşit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olarak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bölünür. Atıflarda çok yazarlı makalelerde tüm yazarlar tam puan alır.</w:t>
            </w:r>
          </w:p>
          <w:p w:rsidR="00BB1BC0" w:rsidRPr="00BB1BC0" w:rsidRDefault="00BB1BC0" w:rsidP="00BB1BC0">
            <w:pPr>
              <w:pStyle w:val="TableParagraph"/>
              <w:spacing w:before="116"/>
              <w:ind w:left="0" w:right="135"/>
              <w:jc w:val="both"/>
              <w:rPr>
                <w:sz w:val="20"/>
              </w:rPr>
            </w:pPr>
            <w:r w:rsidRPr="00BB1BC0">
              <w:rPr>
                <w:sz w:val="20"/>
              </w:rPr>
              <w:t>SCI, SCI-</w:t>
            </w:r>
            <w:proofErr w:type="spellStart"/>
            <w:r w:rsidRPr="00BB1BC0">
              <w:rPr>
                <w:sz w:val="20"/>
              </w:rPr>
              <w:t>Expanded</w:t>
            </w:r>
            <w:proofErr w:type="spellEnd"/>
            <w:r w:rsidRPr="00BB1BC0">
              <w:rPr>
                <w:sz w:val="20"/>
              </w:rPr>
              <w:t xml:space="preserve">, SSCI ve AHCI kapsamında Q1 kategorisinde yer alan dergilerde yayınlanan makaleler için </w:t>
            </w:r>
            <w:r w:rsidRPr="00BB1BC0">
              <w:rPr>
                <w:b/>
                <w:sz w:val="20"/>
              </w:rPr>
              <w:t>2</w:t>
            </w:r>
            <w:r w:rsidRPr="00BB1BC0">
              <w:rPr>
                <w:sz w:val="20"/>
              </w:rPr>
              <w:t xml:space="preserve">, Q2 kategorisinde yer alan dergilerde yayınlanan makaleler için </w:t>
            </w:r>
            <w:r w:rsidRPr="00BB1BC0">
              <w:rPr>
                <w:b/>
                <w:sz w:val="20"/>
              </w:rPr>
              <w:t xml:space="preserve">1,5 </w:t>
            </w:r>
            <w:r w:rsidRPr="00BB1BC0">
              <w:rPr>
                <w:sz w:val="20"/>
              </w:rPr>
              <w:t xml:space="preserve">ve Q3 kategorisinde yer alan dergilerde yayınlanan makaleler için </w:t>
            </w:r>
            <w:r w:rsidRPr="00BB1BC0">
              <w:rPr>
                <w:b/>
                <w:sz w:val="20"/>
              </w:rPr>
              <w:t xml:space="preserve">1,25 </w:t>
            </w:r>
            <w:r w:rsidRPr="00BB1BC0">
              <w:rPr>
                <w:sz w:val="20"/>
              </w:rPr>
              <w:t>çarpan katsayısı uygulanır.**</w:t>
            </w:r>
          </w:p>
          <w:p w:rsidR="00BB1BC0" w:rsidRPr="00BB1BC0" w:rsidRDefault="00BB1BC0" w:rsidP="00BB1BC0">
            <w:pPr>
              <w:pStyle w:val="TableParagraph"/>
              <w:spacing w:before="116"/>
              <w:ind w:left="0" w:right="134"/>
              <w:jc w:val="both"/>
              <w:rPr>
                <w:sz w:val="20"/>
              </w:rPr>
            </w:pPr>
            <w:r w:rsidRPr="00BB1BC0">
              <w:rPr>
                <w:sz w:val="20"/>
              </w:rPr>
              <w:t xml:space="preserve">* </w:t>
            </w:r>
            <w:proofErr w:type="spellStart"/>
            <w:r w:rsidRPr="00BB1BC0">
              <w:rPr>
                <w:sz w:val="20"/>
              </w:rPr>
              <w:t>Academic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</w:t>
            </w:r>
            <w:proofErr w:type="spellEnd"/>
            <w:r w:rsidRPr="00BB1BC0">
              <w:rPr>
                <w:sz w:val="20"/>
              </w:rPr>
              <w:t xml:space="preserve"> of World </w:t>
            </w:r>
            <w:proofErr w:type="spellStart"/>
            <w:r w:rsidRPr="00BB1BC0">
              <w:rPr>
                <w:sz w:val="20"/>
              </w:rPr>
              <w:t>Universities</w:t>
            </w:r>
            <w:proofErr w:type="spellEnd"/>
            <w:r w:rsidRPr="00BB1BC0">
              <w:rPr>
                <w:sz w:val="20"/>
              </w:rPr>
              <w:t xml:space="preserve"> (ARWU), </w:t>
            </w:r>
            <w:proofErr w:type="spellStart"/>
            <w:r w:rsidRPr="00BB1BC0">
              <w:rPr>
                <w:sz w:val="20"/>
              </w:rPr>
              <w:t>Centre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for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Science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and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Tecnology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Studies</w:t>
            </w:r>
            <w:proofErr w:type="spellEnd"/>
            <w:r w:rsidRPr="00BB1BC0">
              <w:rPr>
                <w:sz w:val="20"/>
              </w:rPr>
              <w:t xml:space="preserve"> (CWTS) </w:t>
            </w:r>
            <w:proofErr w:type="spellStart"/>
            <w:r w:rsidRPr="00BB1BC0">
              <w:rPr>
                <w:sz w:val="20"/>
              </w:rPr>
              <w:t>Leiden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</w:t>
            </w:r>
            <w:proofErr w:type="spellEnd"/>
            <w:r w:rsidRPr="00BB1BC0">
              <w:rPr>
                <w:sz w:val="20"/>
              </w:rPr>
              <w:t xml:space="preserve">, </w:t>
            </w:r>
            <w:proofErr w:type="spellStart"/>
            <w:r w:rsidRPr="00BB1BC0">
              <w:rPr>
                <w:sz w:val="20"/>
              </w:rPr>
              <w:t>Quacquarelli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Symonds</w:t>
            </w:r>
            <w:proofErr w:type="spellEnd"/>
            <w:r w:rsidRPr="00BB1BC0">
              <w:rPr>
                <w:sz w:val="20"/>
              </w:rPr>
              <w:t xml:space="preserve"> (QS) World </w:t>
            </w:r>
            <w:proofErr w:type="spellStart"/>
            <w:r w:rsidRPr="00BB1BC0">
              <w:rPr>
                <w:sz w:val="20"/>
              </w:rPr>
              <w:t>University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Rankings</w:t>
            </w:r>
            <w:proofErr w:type="spellEnd"/>
            <w:r w:rsidRPr="00BB1BC0">
              <w:rPr>
                <w:sz w:val="20"/>
              </w:rPr>
              <w:t xml:space="preserve">, Times </w:t>
            </w:r>
            <w:proofErr w:type="spellStart"/>
            <w:r w:rsidRPr="00BB1BC0">
              <w:rPr>
                <w:sz w:val="20"/>
              </w:rPr>
              <w:t>Higher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Education</w:t>
            </w:r>
            <w:proofErr w:type="spellEnd"/>
            <w:r w:rsidRPr="00BB1BC0">
              <w:rPr>
                <w:sz w:val="20"/>
              </w:rPr>
              <w:t xml:space="preserve"> (THE) World </w:t>
            </w:r>
            <w:proofErr w:type="spellStart"/>
            <w:r w:rsidRPr="00BB1BC0">
              <w:rPr>
                <w:sz w:val="20"/>
              </w:rPr>
              <w:t>University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Rankings</w:t>
            </w:r>
            <w:proofErr w:type="spellEnd"/>
            <w:r w:rsidRPr="00BB1BC0">
              <w:rPr>
                <w:sz w:val="20"/>
              </w:rPr>
              <w:t xml:space="preserve">, </w:t>
            </w:r>
            <w:proofErr w:type="spellStart"/>
            <w:r w:rsidRPr="00BB1BC0">
              <w:rPr>
                <w:sz w:val="20"/>
              </w:rPr>
              <w:t>University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by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Academic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Performance</w:t>
            </w:r>
            <w:proofErr w:type="spellEnd"/>
            <w:r w:rsidRPr="00BB1BC0">
              <w:rPr>
                <w:sz w:val="20"/>
              </w:rPr>
              <w:t xml:space="preserve"> (URAP)</w:t>
            </w:r>
          </w:p>
          <w:p w:rsidR="00BB1BC0" w:rsidRPr="00CC01A2" w:rsidRDefault="00BB1BC0" w:rsidP="00BB1BC0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</w:rPr>
              <w:t>**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Web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of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Journal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Impact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Factor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(JIF)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pacing w:val="-2"/>
                <w:sz w:val="20"/>
              </w:rPr>
              <w:t>Quartile</w:t>
            </w:r>
            <w:proofErr w:type="spellEnd"/>
          </w:p>
        </w:tc>
      </w:tr>
    </w:tbl>
    <w:p w:rsidR="00BB1BC0" w:rsidRPr="00971446" w:rsidRDefault="00BB1BC0" w:rsidP="00BB1BC0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127"/>
        <w:gridCol w:w="1699"/>
        <w:gridCol w:w="1699"/>
        <w:gridCol w:w="1700"/>
        <w:gridCol w:w="1700"/>
      </w:tblGrid>
      <w:tr w:rsidR="00BB1BC0" w:rsidTr="00CB5953">
        <w:tc>
          <w:tcPr>
            <w:tcW w:w="10196" w:type="dxa"/>
            <w:gridSpan w:val="6"/>
            <w:vAlign w:val="center"/>
          </w:tcPr>
          <w:p w:rsidR="00BB1BC0" w:rsidRPr="00971446" w:rsidRDefault="00BB1BC0" w:rsidP="00CB5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Üyeliği, Doçentlik ve Profesö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rlük Kadrolarına Atanmaları İçin Asgari Puan Tablosu</w:t>
            </w:r>
          </w:p>
        </w:tc>
      </w:tr>
      <w:tr w:rsidR="00BB1BC0" w:rsidTr="00CB5953">
        <w:tc>
          <w:tcPr>
            <w:tcW w:w="1271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Üyesi</w:t>
            </w:r>
          </w:p>
        </w:tc>
        <w:tc>
          <w:tcPr>
            <w:tcW w:w="3398" w:type="dxa"/>
            <w:gridSpan w:val="2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Doçent</w:t>
            </w:r>
          </w:p>
        </w:tc>
        <w:tc>
          <w:tcPr>
            <w:tcW w:w="3400" w:type="dxa"/>
            <w:gridSpan w:val="2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Profesör</w:t>
            </w:r>
          </w:p>
        </w:tc>
      </w:tr>
      <w:tr w:rsidR="00BB1BC0" w:rsidTr="00CB5953">
        <w:tc>
          <w:tcPr>
            <w:tcW w:w="1271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Atanma</w:t>
            </w:r>
          </w:p>
        </w:tc>
        <w:tc>
          <w:tcPr>
            <w:tcW w:w="1699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Doktoradan Sonra</w:t>
            </w:r>
          </w:p>
        </w:tc>
        <w:tc>
          <w:tcPr>
            <w:tcW w:w="1699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700" w:type="dxa"/>
            <w:vAlign w:val="center"/>
          </w:tcPr>
          <w:p w:rsidR="00BB1BC0" w:rsidRPr="00971446" w:rsidRDefault="00BB1BC0" w:rsidP="00CB5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Doçentlik</w:t>
            </w:r>
          </w:p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 Sonrası</w:t>
            </w:r>
          </w:p>
        </w:tc>
        <w:tc>
          <w:tcPr>
            <w:tcW w:w="1700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</w:tr>
      <w:tr w:rsidR="00BB1BC0" w:rsidTr="00CB5953">
        <w:tc>
          <w:tcPr>
            <w:tcW w:w="1271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2127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699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699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00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00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</w:tr>
      <w:tr w:rsidR="00BB1BC0" w:rsidTr="00CB5953">
        <w:tc>
          <w:tcPr>
            <w:tcW w:w="1271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2127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B1BC0" w:rsidRPr="00971446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04994" w:rsidRDefault="00404994" w:rsidP="00BB1BC0">
      <w:pPr>
        <w:tabs>
          <w:tab w:val="left" w:pos="1485"/>
        </w:tabs>
        <w:rPr>
          <w:rFonts w:ascii="Times New Roman" w:hAnsi="Times New Roman" w:cs="Times New Roman"/>
        </w:rPr>
      </w:pPr>
    </w:p>
    <w:p w:rsidR="00BB1BC0" w:rsidRPr="00CC01A2" w:rsidRDefault="00BB1BC0" w:rsidP="00BB1BC0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>Yukarıdaki bilgilerin tarafımdan doldurulduğunu ve doğruluğunu beyan eder, aksi takdirde doğacak yükümlülükleri kabul ederim.</w:t>
      </w:r>
    </w:p>
    <w:p w:rsidR="00BB1BC0" w:rsidRPr="00CC01A2" w:rsidRDefault="00BB1BC0" w:rsidP="00BB1BC0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  <w:t xml:space="preserve">Tarih: </w:t>
      </w:r>
      <w:proofErr w:type="gramStart"/>
      <w:r w:rsidRPr="00CC01A2">
        <w:rPr>
          <w:rFonts w:ascii="Times New Roman" w:hAnsi="Times New Roman" w:cs="Times New Roman"/>
        </w:rPr>
        <w:t>……</w:t>
      </w:r>
      <w:proofErr w:type="gramEnd"/>
      <w:r w:rsidRPr="00CC01A2">
        <w:rPr>
          <w:rFonts w:ascii="Times New Roman" w:hAnsi="Times New Roman" w:cs="Times New Roman"/>
        </w:rPr>
        <w:t>/……/..........</w:t>
      </w:r>
    </w:p>
    <w:p w:rsidR="00BB1BC0" w:rsidRPr="004755FE" w:rsidRDefault="00BB1BC0" w:rsidP="004755FE"/>
    <w:sectPr w:rsidR="00BB1BC0" w:rsidRPr="004755FE" w:rsidSect="00F41579">
      <w:footerReference w:type="default" r:id="rId9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E6" w:rsidRDefault="00FE0BE6" w:rsidP="009C674D">
      <w:pPr>
        <w:spacing w:after="0" w:line="240" w:lineRule="auto"/>
      </w:pPr>
      <w:r>
        <w:separator/>
      </w:r>
    </w:p>
  </w:endnote>
  <w:endnote w:type="continuationSeparator" w:id="0">
    <w:p w:rsidR="00FE0BE6" w:rsidRDefault="00FE0BE6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915439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>
              <w:rPr>
                <w:noProof/>
              </w:rPr>
              <w:t>5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915439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E6" w:rsidRDefault="00FE0BE6" w:rsidP="009C674D">
      <w:pPr>
        <w:spacing w:after="0" w:line="240" w:lineRule="auto"/>
      </w:pPr>
      <w:r>
        <w:separator/>
      </w:r>
    </w:p>
  </w:footnote>
  <w:footnote w:type="continuationSeparator" w:id="0">
    <w:p w:rsidR="00FE0BE6" w:rsidRDefault="00FE0BE6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103FE"/>
    <w:rsid w:val="00176D8E"/>
    <w:rsid w:val="001C77E8"/>
    <w:rsid w:val="00234603"/>
    <w:rsid w:val="002469F3"/>
    <w:rsid w:val="002D2BF3"/>
    <w:rsid w:val="00302172"/>
    <w:rsid w:val="003343FA"/>
    <w:rsid w:val="00404994"/>
    <w:rsid w:val="00421D11"/>
    <w:rsid w:val="0044116C"/>
    <w:rsid w:val="0045326D"/>
    <w:rsid w:val="004755FE"/>
    <w:rsid w:val="00493EA5"/>
    <w:rsid w:val="004A3BB4"/>
    <w:rsid w:val="00585E60"/>
    <w:rsid w:val="00585FE3"/>
    <w:rsid w:val="00622EF5"/>
    <w:rsid w:val="00663E28"/>
    <w:rsid w:val="006E41D3"/>
    <w:rsid w:val="006F00E5"/>
    <w:rsid w:val="006F49CA"/>
    <w:rsid w:val="0070009B"/>
    <w:rsid w:val="00865EA6"/>
    <w:rsid w:val="00883DB7"/>
    <w:rsid w:val="00915439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BB1BC0"/>
    <w:rsid w:val="00C32695"/>
    <w:rsid w:val="00D16F74"/>
    <w:rsid w:val="00D85D94"/>
    <w:rsid w:val="00D878B0"/>
    <w:rsid w:val="00DE4C9C"/>
    <w:rsid w:val="00DF1889"/>
    <w:rsid w:val="00E13BDF"/>
    <w:rsid w:val="00E53C68"/>
    <w:rsid w:val="00E96DE9"/>
    <w:rsid w:val="00F11566"/>
    <w:rsid w:val="00F41579"/>
    <w:rsid w:val="00FE0BE6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F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BB1BC0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4227-5863-4121-B106-90C9092D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Microsoft hesabı</cp:lastModifiedBy>
  <cp:revision>25</cp:revision>
  <cp:lastPrinted>2021-03-03T08:41:00Z</cp:lastPrinted>
  <dcterms:created xsi:type="dcterms:W3CDTF">2021-02-23T12:39:00Z</dcterms:created>
  <dcterms:modified xsi:type="dcterms:W3CDTF">2024-03-06T10:26:00Z</dcterms:modified>
</cp:coreProperties>
</file>